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"/>
        <w:gridCol w:w="2789"/>
        <w:gridCol w:w="1196"/>
        <w:gridCol w:w="954"/>
        <w:gridCol w:w="1511"/>
        <w:gridCol w:w="1008"/>
        <w:gridCol w:w="2633"/>
      </w:tblGrid>
      <w:tr w:rsidR="00EF009E" w:rsidRPr="00BC5F74" w14:paraId="7A56F422" w14:textId="77777777" w:rsidTr="00EF009E">
        <w:trPr>
          <w:trHeight w:val="414"/>
        </w:trPr>
        <w:tc>
          <w:tcPr>
            <w:tcW w:w="10352" w:type="dxa"/>
            <w:gridSpan w:val="7"/>
          </w:tcPr>
          <w:p w14:paraId="3FC16BF2" w14:textId="77777777" w:rsidR="00EF009E" w:rsidRPr="008564A9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8564A9">
              <w:rPr>
                <w:rFonts w:ascii="Times New Roman" w:hAnsi="Times New Roman" w:cs="Times New Roman"/>
              </w:rPr>
              <w:t>TOPLANTI BİLGİLERİ</w:t>
            </w:r>
          </w:p>
        </w:tc>
      </w:tr>
      <w:tr w:rsidR="00EF009E" w:rsidRPr="00BC5F74" w14:paraId="1324CC00" w14:textId="77777777" w:rsidTr="00EF009E">
        <w:trPr>
          <w:trHeight w:val="365"/>
        </w:trPr>
        <w:tc>
          <w:tcPr>
            <w:tcW w:w="3050" w:type="dxa"/>
            <w:gridSpan w:val="2"/>
          </w:tcPr>
          <w:p w14:paraId="74E0B8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Toplantıyı Düzenleyen Birim:</w:t>
            </w:r>
          </w:p>
        </w:tc>
        <w:tc>
          <w:tcPr>
            <w:tcW w:w="7302" w:type="dxa"/>
            <w:gridSpan w:val="5"/>
          </w:tcPr>
          <w:p w14:paraId="6C18EC0E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SOSYAL BİLİMLER ENSTİTÜSÜ</w:t>
            </w:r>
          </w:p>
        </w:tc>
      </w:tr>
      <w:tr w:rsidR="00EF009E" w:rsidRPr="00BC5F74" w14:paraId="6844802A" w14:textId="77777777" w:rsidTr="00EF009E">
        <w:trPr>
          <w:trHeight w:val="365"/>
        </w:trPr>
        <w:tc>
          <w:tcPr>
            <w:tcW w:w="3050" w:type="dxa"/>
            <w:gridSpan w:val="2"/>
          </w:tcPr>
          <w:p w14:paraId="05B2D9AB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ve Karar Sayısı:</w:t>
            </w:r>
          </w:p>
        </w:tc>
        <w:tc>
          <w:tcPr>
            <w:tcW w:w="1196" w:type="dxa"/>
          </w:tcPr>
          <w:p w14:paraId="39553B68" w14:textId="73521293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482EAD">
              <w:rPr>
                <w:rFonts w:ascii="Times New Roman" w:hAnsi="Times New Roman" w:cs="Times New Roman"/>
              </w:rPr>
              <w:t>/</w:t>
            </w:r>
            <w:r w:rsidR="005515B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14:paraId="15D4C6CC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Tarih:</w:t>
            </w:r>
          </w:p>
        </w:tc>
        <w:tc>
          <w:tcPr>
            <w:tcW w:w="1511" w:type="dxa"/>
          </w:tcPr>
          <w:p w14:paraId="1EDB3490" w14:textId="154B67E2" w:rsidR="00EF009E" w:rsidRPr="00482EAD" w:rsidRDefault="005515B9" w:rsidP="002112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7330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.08.2025</w:t>
            </w:r>
          </w:p>
        </w:tc>
        <w:tc>
          <w:tcPr>
            <w:tcW w:w="1008" w:type="dxa"/>
          </w:tcPr>
          <w:p w14:paraId="5A7C317B" w14:textId="77777777" w:rsidR="00EF009E" w:rsidRPr="00482EAD" w:rsidRDefault="00EF009E" w:rsidP="002112C1">
            <w:pPr>
              <w:jc w:val="center"/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Saat:</w:t>
            </w:r>
          </w:p>
        </w:tc>
        <w:tc>
          <w:tcPr>
            <w:tcW w:w="2633" w:type="dxa"/>
          </w:tcPr>
          <w:p w14:paraId="69832C39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12.00</w:t>
            </w:r>
          </w:p>
        </w:tc>
      </w:tr>
      <w:tr w:rsidR="00EF009E" w:rsidRPr="00BC5F74" w14:paraId="5E20B3E7" w14:textId="77777777" w:rsidTr="00EF009E">
        <w:trPr>
          <w:trHeight w:val="612"/>
        </w:trPr>
        <w:tc>
          <w:tcPr>
            <w:tcW w:w="3050" w:type="dxa"/>
            <w:gridSpan w:val="2"/>
          </w:tcPr>
          <w:p w14:paraId="26F5B5F5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Toplantı Yeri:</w:t>
            </w:r>
          </w:p>
        </w:tc>
        <w:tc>
          <w:tcPr>
            <w:tcW w:w="7302" w:type="dxa"/>
            <w:gridSpan w:val="5"/>
          </w:tcPr>
          <w:p w14:paraId="3B5244A8" w14:textId="77777777" w:rsidR="00EF009E" w:rsidRPr="00482EAD" w:rsidRDefault="00EF009E" w:rsidP="002112C1">
            <w:pPr>
              <w:rPr>
                <w:rFonts w:ascii="Times New Roman" w:hAnsi="Times New Roman" w:cs="Times New Roman"/>
              </w:rPr>
            </w:pPr>
            <w:r w:rsidRPr="00482EAD">
              <w:rPr>
                <w:rFonts w:ascii="Times New Roman" w:hAnsi="Times New Roman" w:cs="Times New Roman"/>
              </w:rPr>
              <w:t>Müzik ve Sahne Sanatları Fakültesi Toplantı Odası</w:t>
            </w:r>
          </w:p>
        </w:tc>
      </w:tr>
      <w:tr w:rsidR="00EF009E" w:rsidRPr="00BC5F74" w14:paraId="1F4A7122" w14:textId="77777777" w:rsidTr="00EF009E">
        <w:trPr>
          <w:trHeight w:val="410"/>
        </w:trPr>
        <w:tc>
          <w:tcPr>
            <w:tcW w:w="10352" w:type="dxa"/>
            <w:gridSpan w:val="7"/>
          </w:tcPr>
          <w:p w14:paraId="27A27AB6" w14:textId="77777777" w:rsidR="00EF009E" w:rsidRPr="0059546A" w:rsidRDefault="00EF009E" w:rsidP="002112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9546A">
              <w:rPr>
                <w:rFonts w:ascii="Times New Roman" w:hAnsi="Times New Roman" w:cs="Times New Roman"/>
                <w:b/>
                <w:bCs/>
              </w:rPr>
              <w:t>GÜNDEM MADDELERİ</w:t>
            </w:r>
          </w:p>
        </w:tc>
      </w:tr>
      <w:tr w:rsidR="00EF009E" w:rsidRPr="00BC5F74" w14:paraId="0E1B60B9" w14:textId="77777777" w:rsidTr="00EF009E">
        <w:trPr>
          <w:trHeight w:val="829"/>
        </w:trPr>
        <w:tc>
          <w:tcPr>
            <w:tcW w:w="261" w:type="dxa"/>
          </w:tcPr>
          <w:p w14:paraId="05E2F71A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2E5A70" w14:textId="77777777" w:rsidR="00EF009E" w:rsidRPr="00B022CB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22CB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082BA9BD" w14:textId="2093B4CF" w:rsidR="007D6B79" w:rsidRPr="0067330A" w:rsidRDefault="005515B9" w:rsidP="00CF32B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</w:rPr>
            </w:pPr>
            <w:r w:rsidRPr="0067330A">
              <w:rPr>
                <w:rFonts w:ascii="Times New Roman" w:hAnsi="Times New Roman" w:cs="Times New Roman"/>
              </w:rPr>
              <w:t>Enstitü bünyesindeki akademik ve idari süreçlerde kalite güvence sisteminin yapılandırılması amacıyla, enstitüye özgü kalite politikalarının belirlenmesi hususunun görüşülmesi.</w:t>
            </w:r>
          </w:p>
        </w:tc>
      </w:tr>
      <w:tr w:rsidR="00EF009E" w:rsidRPr="00BC5F74" w14:paraId="74AF8469" w14:textId="77777777" w:rsidTr="00EF009E">
        <w:trPr>
          <w:trHeight w:val="879"/>
        </w:trPr>
        <w:tc>
          <w:tcPr>
            <w:tcW w:w="261" w:type="dxa"/>
          </w:tcPr>
          <w:p w14:paraId="4B5A615D" w14:textId="77777777" w:rsidR="00EF009E" w:rsidRDefault="00EF009E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6038D" w14:textId="1C648BC2" w:rsidR="00EF009E" w:rsidRPr="00BC5F74" w:rsidRDefault="00A54FA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091" w:type="dxa"/>
            <w:gridSpan w:val="6"/>
          </w:tcPr>
          <w:p w14:paraId="515CEAFB" w14:textId="1CFC9BC5" w:rsidR="00EF009E" w:rsidRPr="0067330A" w:rsidRDefault="00084080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kern w:val="0"/>
                <w:sz w:val="22"/>
              </w:rPr>
            </w:pPr>
            <w:r w:rsidRPr="0067330A">
              <w:rPr>
                <w:rFonts w:ascii="Times New Roman" w:hAnsi="Times New Roman" w:cs="Times New Roman"/>
              </w:rPr>
              <w:t>Enstitü'nün 2026–2030 dönemi stratejik planı kapsamında kalite odaklı gelişimi sağlamak üzere eğitim, araştırma, toplumsal katkı ve idari hizmet alanlarında stratejik amaç ve hedeflerin belirlenmesi konusunun görüşülmesi.</w:t>
            </w:r>
          </w:p>
        </w:tc>
      </w:tr>
      <w:tr w:rsidR="002F0C76" w:rsidRPr="00BC5F74" w14:paraId="35911DEC" w14:textId="77777777" w:rsidTr="00EF009E">
        <w:trPr>
          <w:trHeight w:val="879"/>
        </w:trPr>
        <w:tc>
          <w:tcPr>
            <w:tcW w:w="261" w:type="dxa"/>
          </w:tcPr>
          <w:p w14:paraId="31814D74" w14:textId="4B6FD349" w:rsidR="002F0C76" w:rsidRDefault="002F0C76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091" w:type="dxa"/>
            <w:gridSpan w:val="6"/>
          </w:tcPr>
          <w:p w14:paraId="48851C07" w14:textId="20467E81" w:rsidR="002F0C76" w:rsidRPr="0067330A" w:rsidRDefault="002F0C76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30A">
              <w:rPr>
                <w:rFonts w:ascii="Times New Roman" w:hAnsi="Times New Roman" w:cs="Times New Roman"/>
              </w:rPr>
              <w:t>Enstitü'nün kalite yönetim sistemi çerçevesinde misyon, vizyon ve stratejik hedeflerle uyumlu "Temel İlkeler" metninin oluşturulmasının görüşülmesi.</w:t>
            </w:r>
          </w:p>
        </w:tc>
      </w:tr>
      <w:tr w:rsidR="00721046" w:rsidRPr="00BC5F74" w14:paraId="39E04C8F" w14:textId="77777777" w:rsidTr="00EF009E">
        <w:trPr>
          <w:trHeight w:val="879"/>
        </w:trPr>
        <w:tc>
          <w:tcPr>
            <w:tcW w:w="261" w:type="dxa"/>
          </w:tcPr>
          <w:p w14:paraId="07FA35D9" w14:textId="7E470E67" w:rsidR="00721046" w:rsidRDefault="00101F3C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091" w:type="dxa"/>
            <w:gridSpan w:val="6"/>
          </w:tcPr>
          <w:p w14:paraId="24F0830D" w14:textId="7CE64941" w:rsidR="00721046" w:rsidRPr="0067330A" w:rsidRDefault="00721046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30A">
              <w:rPr>
                <w:rFonts w:ascii="Times New Roman" w:hAnsi="Times New Roman" w:cs="Times New Roman"/>
              </w:rPr>
              <w:t>Enstitü’nün sürdürülebilir gelişimi, kalite güvence sisteminin güçlendirilmesi ve dijitalleşme, yönetişim ve paydaş ilişkilerinde kurumsal dönüşümün sağlanması amacıyla atılması gereken adımların görüşülmesi.</w:t>
            </w:r>
          </w:p>
        </w:tc>
      </w:tr>
      <w:tr w:rsidR="00101F3C" w:rsidRPr="00BC5F74" w14:paraId="3895E2D1" w14:textId="77777777" w:rsidTr="00EF009E">
        <w:trPr>
          <w:trHeight w:val="879"/>
        </w:trPr>
        <w:tc>
          <w:tcPr>
            <w:tcW w:w="261" w:type="dxa"/>
          </w:tcPr>
          <w:p w14:paraId="41EB9DB4" w14:textId="36EE0E93" w:rsidR="00101F3C" w:rsidRDefault="00B046A1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091" w:type="dxa"/>
            <w:gridSpan w:val="6"/>
          </w:tcPr>
          <w:p w14:paraId="070DD44B" w14:textId="070CBEF4" w:rsidR="00101F3C" w:rsidRPr="0067330A" w:rsidRDefault="00B046A1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30A">
              <w:rPr>
                <w:rFonts w:ascii="Times New Roman" w:hAnsi="Times New Roman" w:cs="Times New Roman"/>
              </w:rPr>
              <w:t>Kalite güvence sisteminin etkili şekilde işletilmesi amacıyla, enstitü faaliyetlerinde Planla–Uygula–Kontrol Et–Önlem Al (PUKO) döngüsünün sistematik olarak kullanılmasına yönelik stratejilerin görüşülmesi.</w:t>
            </w:r>
          </w:p>
        </w:tc>
      </w:tr>
      <w:tr w:rsidR="00695F2D" w:rsidRPr="00BC5F74" w14:paraId="06628160" w14:textId="77777777" w:rsidTr="00EF009E">
        <w:trPr>
          <w:trHeight w:val="879"/>
        </w:trPr>
        <w:tc>
          <w:tcPr>
            <w:tcW w:w="261" w:type="dxa"/>
          </w:tcPr>
          <w:p w14:paraId="429B850F" w14:textId="62EB7785" w:rsidR="00695F2D" w:rsidRDefault="00695F2D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091" w:type="dxa"/>
            <w:gridSpan w:val="6"/>
          </w:tcPr>
          <w:p w14:paraId="634C6F9B" w14:textId="4B6F8F4D" w:rsidR="00695F2D" w:rsidRPr="0067330A" w:rsidRDefault="00695F2D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30A">
              <w:rPr>
                <w:rFonts w:ascii="Times New Roman" w:hAnsi="Times New Roman" w:cs="Times New Roman"/>
              </w:rPr>
              <w:t>İç ve dış paydaşların görüş, öneri ve memnuniyet düzeylerinin sistematik biçimde izlenmesi amacıyla kullanılacak geri bildirim araçlarının belirlenmesi ve etkinleştirilmesi konusunun görüşülmesi.</w:t>
            </w:r>
          </w:p>
        </w:tc>
      </w:tr>
      <w:tr w:rsidR="004D1067" w:rsidRPr="00BC5F74" w14:paraId="0EE901AC" w14:textId="77777777" w:rsidTr="00EF009E">
        <w:trPr>
          <w:trHeight w:val="879"/>
        </w:trPr>
        <w:tc>
          <w:tcPr>
            <w:tcW w:w="261" w:type="dxa"/>
          </w:tcPr>
          <w:p w14:paraId="1B019099" w14:textId="2475176C" w:rsidR="004D1067" w:rsidRDefault="0086733B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091" w:type="dxa"/>
            <w:gridSpan w:val="6"/>
          </w:tcPr>
          <w:p w14:paraId="2615018B" w14:textId="6F9FACCF" w:rsidR="004D1067" w:rsidRPr="0067330A" w:rsidRDefault="0086733B" w:rsidP="00D339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7330A">
              <w:rPr>
                <w:rFonts w:ascii="Times New Roman" w:hAnsi="Times New Roman" w:cs="Times New Roman"/>
              </w:rPr>
              <w:t>Enstitü'nün iç ve dış paydaşlarının sistematik olarak tanımlanması, paydaş katılımının artırılması ve Danışma Kurulu'nun kurulmasına ilişkin sürecin görüşülmesi.</w:t>
            </w:r>
          </w:p>
        </w:tc>
      </w:tr>
      <w:tr w:rsidR="00EF009E" w:rsidRPr="00BC5F74" w14:paraId="633CE01D" w14:textId="77777777" w:rsidTr="00EF009E">
        <w:trPr>
          <w:trHeight w:val="387"/>
        </w:trPr>
        <w:tc>
          <w:tcPr>
            <w:tcW w:w="10352" w:type="dxa"/>
            <w:gridSpan w:val="7"/>
          </w:tcPr>
          <w:p w14:paraId="0C779933" w14:textId="5DC52779" w:rsidR="00EF009E" w:rsidRPr="00093D02" w:rsidRDefault="0059546A" w:rsidP="0059546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ALINAN </w:t>
            </w:r>
            <w:r w:rsidR="00EF009E" w:rsidRPr="00093D02">
              <w:rPr>
                <w:rFonts w:ascii="Times New Roman" w:hAnsi="Times New Roman" w:cs="Times New Roman"/>
                <w:b/>
                <w:bCs/>
              </w:rPr>
              <w:t>KARAR</w:t>
            </w:r>
            <w:r>
              <w:rPr>
                <w:rFonts w:ascii="Times New Roman" w:hAnsi="Times New Roman" w:cs="Times New Roman"/>
                <w:b/>
                <w:bCs/>
              </w:rPr>
              <w:t>LAR</w:t>
            </w:r>
          </w:p>
        </w:tc>
      </w:tr>
      <w:tr w:rsidR="00EF009E" w:rsidRPr="00BC5F74" w14:paraId="6CFC800B" w14:textId="77777777" w:rsidTr="00EF009E">
        <w:trPr>
          <w:trHeight w:val="879"/>
        </w:trPr>
        <w:tc>
          <w:tcPr>
            <w:tcW w:w="261" w:type="dxa"/>
          </w:tcPr>
          <w:p w14:paraId="7D143A76" w14:textId="79CA102F" w:rsidR="00EF009E" w:rsidRPr="008A2010" w:rsidRDefault="00EF009E" w:rsidP="006733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10091" w:type="dxa"/>
            <w:gridSpan w:val="6"/>
          </w:tcPr>
          <w:p w14:paraId="6B022B54" w14:textId="77777777" w:rsidR="0067330A" w:rsidRDefault="005515B9" w:rsidP="0067330A">
            <w:pPr>
              <w:pStyle w:val="NormalWeb"/>
              <w:jc w:val="both"/>
            </w:pPr>
            <w:r>
              <w:t xml:space="preserve">Enstitü Kalite Komisyonu, Yükseköğretim Kalite Kurulu (YÖKAK) rehberliğinde yürütülen kalite güvence süreçleri kapsamında; eğitim-öğretim, araştırma, toplumsal katkı ve idari hizmet alanlarında kaliteyi artırmak amacıyla </w:t>
            </w:r>
            <w:r>
              <w:rPr>
                <w:rStyle w:val="Gl"/>
                <w:rFonts w:eastAsiaTheme="majorEastAsia"/>
              </w:rPr>
              <w:t>Enstitü Kalite Politikalarının oluşturulmasına</w:t>
            </w:r>
            <w:r>
              <w:t xml:space="preserve"> oy birliğiyle karar vermiştir.</w:t>
            </w:r>
          </w:p>
          <w:p w14:paraId="4B239868" w14:textId="6CD60EC9" w:rsidR="005515B9" w:rsidRDefault="005515B9" w:rsidP="0067330A">
            <w:pPr>
              <w:pStyle w:val="NormalWeb"/>
              <w:spacing w:before="0" w:beforeAutospacing="0" w:after="0" w:afterAutospacing="0"/>
              <w:jc w:val="both"/>
            </w:pPr>
            <w:r>
              <w:t>Bu kapsamda;</w:t>
            </w:r>
          </w:p>
          <w:p w14:paraId="2F9AB39C" w14:textId="77777777" w:rsidR="005515B9" w:rsidRDefault="005515B9" w:rsidP="006733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Enstitü misyonu ve vizyonuna uygun, şeffaf, sürekli iyileştirmeyi esas alan, paydaş odaklı ve sürdürülebilir kalite politikalarının taslağının hazırlanmasına,</w:t>
            </w:r>
          </w:p>
          <w:p w14:paraId="5CE93BBD" w14:textId="77777777" w:rsidR="005515B9" w:rsidRDefault="005515B9" w:rsidP="006733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Taslak kalite politikasının iç ve dış paydaş görüşlerine sunulmasına,</w:t>
            </w:r>
          </w:p>
          <w:p w14:paraId="7AA5BA37" w14:textId="77777777" w:rsidR="005515B9" w:rsidRDefault="005515B9" w:rsidP="006733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Gelen görüşler doğrultusunda gerekli revizyonların yapılması ve bir sonraki toplantıda onaya sunulmak üzere nihai metnin hazırlanmasına,</w:t>
            </w:r>
          </w:p>
          <w:p w14:paraId="0C13C1BF" w14:textId="6CE3A790" w:rsidR="00952202" w:rsidRPr="00D3390E" w:rsidRDefault="005515B9" w:rsidP="0067330A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</w:pPr>
            <w:r>
              <w:t>Kalite politikasının enstitü web sitesinde yayımlanarak kamuoyuyla paylaşılmasına,</w:t>
            </w:r>
          </w:p>
        </w:tc>
      </w:tr>
      <w:tr w:rsidR="00084080" w:rsidRPr="00BC5F74" w14:paraId="7641B88E" w14:textId="77777777" w:rsidTr="00EF009E">
        <w:trPr>
          <w:trHeight w:val="879"/>
        </w:trPr>
        <w:tc>
          <w:tcPr>
            <w:tcW w:w="261" w:type="dxa"/>
          </w:tcPr>
          <w:p w14:paraId="78B3B71C" w14:textId="297055C9" w:rsidR="00084080" w:rsidRDefault="0067330A" w:rsidP="0067330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59C8DAFE" w14:textId="77777777" w:rsidR="00166B3F" w:rsidRDefault="00166B3F" w:rsidP="0067330A">
            <w:pPr>
              <w:pStyle w:val="NormalWeb"/>
              <w:spacing w:before="0" w:beforeAutospacing="0" w:after="0" w:afterAutospacing="0"/>
              <w:jc w:val="both"/>
            </w:pPr>
            <w:r>
              <w:t>Komisyon/kurul, 2026–2030 dönemi için hazırlanmakta olan Enstitü Stratejik Planı kapsamında;</w:t>
            </w:r>
          </w:p>
          <w:p w14:paraId="0986234F" w14:textId="77777777" w:rsidR="00166B3F" w:rsidRDefault="00166B3F" w:rsidP="006733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Enstitü’nün temel değerleri, misyonu ve vizyonu doğrultusunda, stratejik amaç ve hedeflerin kalite güvence sistemiyle uyumlu olarak yapılandırılmasına,</w:t>
            </w:r>
          </w:p>
          <w:p w14:paraId="7A0549CA" w14:textId="77777777" w:rsidR="00166B3F" w:rsidRDefault="00166B3F" w:rsidP="0067330A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>Stratejik amaçların;</w:t>
            </w:r>
          </w:p>
          <w:p w14:paraId="37ECBE26" w14:textId="77777777" w:rsidR="00166B3F" w:rsidRDefault="00166B3F" w:rsidP="0067330A">
            <w:pPr>
              <w:pStyle w:val="NormalWeb"/>
              <w:numPr>
                <w:ilvl w:val="1"/>
                <w:numId w:val="3"/>
              </w:numPr>
              <w:spacing w:before="0" w:beforeAutospacing="0" w:after="0" w:afterAutospacing="0"/>
              <w:jc w:val="both"/>
            </w:pPr>
            <w:r>
              <w:t>Eğitim ve öğretim kalitesinin artırılması,</w:t>
            </w:r>
          </w:p>
          <w:p w14:paraId="104783B6" w14:textId="77777777" w:rsidR="00166B3F" w:rsidRDefault="00166B3F" w:rsidP="0067330A">
            <w:pPr>
              <w:pStyle w:val="NormalWeb"/>
              <w:numPr>
                <w:ilvl w:val="1"/>
                <w:numId w:val="3"/>
              </w:numPr>
              <w:jc w:val="both"/>
            </w:pPr>
            <w:r>
              <w:t>Araştırma kapasitesinin geliştirilmesi,</w:t>
            </w:r>
          </w:p>
          <w:p w14:paraId="229490AC" w14:textId="77777777" w:rsidR="00166B3F" w:rsidRDefault="00166B3F" w:rsidP="0067330A">
            <w:pPr>
              <w:pStyle w:val="NormalWeb"/>
              <w:numPr>
                <w:ilvl w:val="1"/>
                <w:numId w:val="3"/>
              </w:numPr>
              <w:jc w:val="both"/>
            </w:pPr>
            <w:r>
              <w:t>Mezun ve paydaş ilişkilerinin güçlendirilmesi,</w:t>
            </w:r>
          </w:p>
          <w:p w14:paraId="387EC8C3" w14:textId="77777777" w:rsidR="00166B3F" w:rsidRDefault="00166B3F" w:rsidP="0067330A">
            <w:pPr>
              <w:pStyle w:val="NormalWeb"/>
              <w:numPr>
                <w:ilvl w:val="1"/>
                <w:numId w:val="3"/>
              </w:numPr>
              <w:jc w:val="both"/>
            </w:pPr>
            <w:r>
              <w:t>Dijital dönüşüm ve sürdürülebilirlik uygulamalarının yaygınlaştırılması gibi alanları kapsayacak şekilde çerçevelendirilmesine,</w:t>
            </w:r>
          </w:p>
          <w:p w14:paraId="72E8B61B" w14:textId="77777777" w:rsidR="00166B3F" w:rsidRDefault="00166B3F" w:rsidP="0067330A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Her bir stratejik amaç için ölçülebilir, izlenebilir ve zaman sınırlı hedefler belirlenmesine,</w:t>
            </w:r>
          </w:p>
          <w:p w14:paraId="21849480" w14:textId="76ABC9EA" w:rsidR="00084080" w:rsidRDefault="00166B3F" w:rsidP="0067330A">
            <w:pPr>
              <w:pStyle w:val="NormalWeb"/>
              <w:numPr>
                <w:ilvl w:val="0"/>
                <w:numId w:val="3"/>
              </w:numPr>
              <w:jc w:val="both"/>
            </w:pPr>
            <w:r>
              <w:t>Hazırlanan taslak stratejik amaç ve hedeflerin iç ve dış paydaşların görüşlerine açılmasına ve gelen öneriler doğrultusunda güncellenmesine,</w:t>
            </w:r>
          </w:p>
        </w:tc>
      </w:tr>
      <w:tr w:rsidR="002F0C76" w:rsidRPr="00BC5F74" w14:paraId="4FE51F5F" w14:textId="77777777" w:rsidTr="00EF009E">
        <w:trPr>
          <w:trHeight w:val="879"/>
        </w:trPr>
        <w:tc>
          <w:tcPr>
            <w:tcW w:w="261" w:type="dxa"/>
          </w:tcPr>
          <w:p w14:paraId="27F1E8AF" w14:textId="2CA36CB6" w:rsidR="002F0C76" w:rsidRPr="008A2010" w:rsidRDefault="0067330A" w:rsidP="0067330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10091" w:type="dxa"/>
            <w:gridSpan w:val="6"/>
          </w:tcPr>
          <w:p w14:paraId="479C0FE8" w14:textId="58314E30" w:rsidR="002F0C76" w:rsidRDefault="002F0C76" w:rsidP="002F0C76">
            <w:pPr>
              <w:pStyle w:val="NormalWeb"/>
              <w:spacing w:before="0" w:beforeAutospacing="0" w:after="0" w:afterAutospacing="0"/>
              <w:jc w:val="both"/>
            </w:pPr>
            <w:r>
              <w:t>Enstitü’nün tüm akademik ve idari faaliyetlerinde rehber olacak şekilde kalite odaklı ve stratejik yönetim anlayışıyla uyumlu Temel İlkeler belirlenmiştir.</w:t>
            </w:r>
          </w:p>
          <w:p w14:paraId="30D3C842" w14:textId="77777777" w:rsidR="002F0C76" w:rsidRDefault="002F0C76" w:rsidP="002F0C76">
            <w:pPr>
              <w:pStyle w:val="NormalWeb"/>
              <w:spacing w:before="0" w:beforeAutospacing="0" w:after="0" w:afterAutospacing="0"/>
              <w:jc w:val="both"/>
            </w:pPr>
            <w:r>
              <w:t>Bu kapsamda;</w:t>
            </w:r>
          </w:p>
          <w:p w14:paraId="3B6CD499" w14:textId="77777777" w:rsidR="002F0C76" w:rsidRDefault="002F0C76" w:rsidP="002F0C76">
            <w:pPr>
              <w:pStyle w:val="NormalWeb"/>
              <w:spacing w:before="0" w:beforeAutospacing="0" w:after="0" w:afterAutospacing="0"/>
              <w:jc w:val="both"/>
            </w:pPr>
            <w:r>
              <w:t>Enstitü’nün kurumsal kimliğini, değerlerini ve kalite yaklaşımını yansıtacak Temel İlkeler Metni aşağıda belirtilen ilkeler doğrultusunda oluşturulmuştur:</w:t>
            </w:r>
          </w:p>
          <w:p w14:paraId="5924CAF8" w14:textId="77777777" w:rsidR="002F0C76" w:rsidRDefault="002F0C76" w:rsidP="002F0C76">
            <w:pPr>
              <w:pStyle w:val="NormalWeb"/>
              <w:spacing w:before="0" w:beforeAutospacing="0" w:after="0" w:afterAutospacing="0"/>
            </w:pPr>
          </w:p>
          <w:p w14:paraId="738B80AE" w14:textId="6835C855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Katılımcılık</w:t>
            </w:r>
          </w:p>
          <w:p w14:paraId="790BB391" w14:textId="65A29C51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Şeffaflık ve Hesap Verebilirlik</w:t>
            </w:r>
          </w:p>
          <w:p w14:paraId="55187097" w14:textId="2A53B87A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Sürekli İyileştirme</w:t>
            </w:r>
          </w:p>
          <w:p w14:paraId="132F53E0" w14:textId="68D8F895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Etik Değerler ve Akademik Dürüstlük</w:t>
            </w:r>
          </w:p>
          <w:p w14:paraId="19B16C74" w14:textId="66C56B48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Toplumsal Sorumluluk</w:t>
            </w:r>
          </w:p>
          <w:p w14:paraId="2A9B7C2A" w14:textId="3EB18C5D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Bilimsel Özgürlük ve Yenilikçilik</w:t>
            </w:r>
          </w:p>
          <w:p w14:paraId="09D8CCA1" w14:textId="3C629225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Kalite Odaklılık</w:t>
            </w:r>
          </w:p>
          <w:p w14:paraId="6EAFB1C5" w14:textId="2C8D5E6C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Eşitlik ve Kapsayıcılık</w:t>
            </w:r>
          </w:p>
          <w:p w14:paraId="7150B6E8" w14:textId="466C2BED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Veri Temelli Karar Alma</w:t>
            </w:r>
          </w:p>
          <w:p w14:paraId="68D33D73" w14:textId="3EDE0302" w:rsidR="002F0C76" w:rsidRDefault="0067330A" w:rsidP="002F0C76">
            <w:pPr>
              <w:pStyle w:val="NormalWeb"/>
              <w:spacing w:before="0" w:beforeAutospacing="0" w:after="0" w:afterAutospacing="0"/>
            </w:pPr>
            <w:r>
              <w:t>*</w:t>
            </w:r>
            <w:r w:rsidR="002F0C76">
              <w:t>Çevresel ve Dijital Duyarlılık</w:t>
            </w:r>
          </w:p>
          <w:p w14:paraId="0AE94224" w14:textId="77777777" w:rsidR="002F0C76" w:rsidRDefault="002F0C76" w:rsidP="002F0C76">
            <w:pPr>
              <w:pStyle w:val="NormalWeb"/>
              <w:spacing w:before="0" w:beforeAutospacing="0" w:after="0" w:afterAutospacing="0"/>
            </w:pPr>
          </w:p>
          <w:p w14:paraId="64E39E37" w14:textId="77777777" w:rsidR="002F0C76" w:rsidRDefault="002F0C76" w:rsidP="002F0C76">
            <w:pPr>
              <w:pStyle w:val="NormalWeb"/>
              <w:spacing w:before="0" w:beforeAutospacing="0" w:after="0" w:afterAutospacing="0"/>
            </w:pPr>
            <w:r>
              <w:t>Temel ilkelerin paydaşlarla paylaşılmak üzere Enstitü web sitesinde yayımlanmasına,</w:t>
            </w:r>
          </w:p>
          <w:p w14:paraId="06784B15" w14:textId="39713DE2" w:rsidR="002F0C76" w:rsidRDefault="002F0C76" w:rsidP="002F0C76">
            <w:pPr>
              <w:pStyle w:val="NormalWeb"/>
              <w:spacing w:before="0" w:beforeAutospacing="0" w:after="0" w:afterAutospacing="0"/>
            </w:pPr>
            <w:r>
              <w:t>İlkelerin belirli aralıklarla gözden geçirilerek güncellenmesine,</w:t>
            </w:r>
          </w:p>
        </w:tc>
      </w:tr>
      <w:tr w:rsidR="00721046" w:rsidRPr="00BC5F74" w14:paraId="44975FC5" w14:textId="77777777" w:rsidTr="00EF009E">
        <w:trPr>
          <w:trHeight w:val="879"/>
        </w:trPr>
        <w:tc>
          <w:tcPr>
            <w:tcW w:w="261" w:type="dxa"/>
          </w:tcPr>
          <w:p w14:paraId="15DE5AF3" w14:textId="007F3FC4" w:rsidR="00721046" w:rsidRPr="008A2010" w:rsidRDefault="003116CF" w:rsidP="002112C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10091" w:type="dxa"/>
            <w:gridSpan w:val="6"/>
          </w:tcPr>
          <w:p w14:paraId="2DF1DBD7" w14:textId="2CBDF7C7" w:rsidR="00721046" w:rsidRDefault="00721046" w:rsidP="00721046">
            <w:pPr>
              <w:pStyle w:val="NormalWeb"/>
              <w:spacing w:before="0" w:beforeAutospacing="0" w:after="0" w:afterAutospacing="0"/>
              <w:jc w:val="both"/>
            </w:pPr>
            <w:r>
              <w:t>Enstitü’nün değişen yükseköğretim dinamiklerine uyum sağlaması ve kalite odaklı yönetim kültürünün kurumsallaştırılması amacıyla Kurumsal Dönüşüm Süreci ele alınmış ve aşağıdaki kararlar</w:t>
            </w:r>
            <w:r w:rsidR="00413815">
              <w:t>;</w:t>
            </w:r>
          </w:p>
          <w:p w14:paraId="589FE528" w14:textId="77777777" w:rsidR="00721046" w:rsidRDefault="00721046" w:rsidP="00721046">
            <w:pPr>
              <w:pStyle w:val="NormalWeb"/>
              <w:spacing w:before="0" w:beforeAutospacing="0" w:after="0" w:afterAutospacing="0"/>
              <w:jc w:val="both"/>
            </w:pPr>
          </w:p>
          <w:p w14:paraId="328B8D3D" w14:textId="0ED76244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Kurumsal dönüşüm kapsamında, eğitim-öğretim, araştırma, toplumsal katkı, insan kaynağı, dijitalleşme, yönetişim ve sürdürülebilirlik alanlarında durum analizi yapılmasına,</w:t>
            </w:r>
          </w:p>
          <w:p w14:paraId="1F7FCBA4" w14:textId="77E188EE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Dönüşüm sürecine yön verecek şekilde kısa, orta ve uzun vadeli hedeflerin tanımlanmasına,</w:t>
            </w:r>
          </w:p>
          <w:p w14:paraId="0A16D03A" w14:textId="224EF9D4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Dijital altyapıların güçlendirilmesi, veri temelli karar alma sistemlerinin yaygınlaştırılması ve paydaşlarla etkileşimin artırılması yönünde projeler geliştirilmesine,</w:t>
            </w:r>
          </w:p>
          <w:p w14:paraId="11A2F742" w14:textId="4AD2F057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Dönüşüm sürecinin yönetilmesi için ilgili akademik ve idari birimlerden temsilcilerin yer alacağı Kurumsal Dönüşüm Alt Komisyonu kurulmasına,</w:t>
            </w:r>
          </w:p>
          <w:p w14:paraId="425917CA" w14:textId="195B0789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Sürecin periyodik olarak izlenmesi ve iyileştirme önerilerinin Kalite Komisyonuna raporlanmasına,</w:t>
            </w:r>
          </w:p>
          <w:p w14:paraId="0E53EC27" w14:textId="543CC2A6" w:rsidR="00721046" w:rsidRDefault="003116CF" w:rsidP="00721046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721046">
              <w:t>Kurumsal dönüşüm faaliyetlerinin stratejik plan ve kalite güvence sistemi ile uyumlu şekilde yürütülmesine,</w:t>
            </w:r>
          </w:p>
        </w:tc>
      </w:tr>
      <w:tr w:rsidR="00B046A1" w:rsidRPr="00BC5F74" w14:paraId="25FF3FBB" w14:textId="77777777" w:rsidTr="00EF009E">
        <w:trPr>
          <w:trHeight w:val="879"/>
        </w:trPr>
        <w:tc>
          <w:tcPr>
            <w:tcW w:w="261" w:type="dxa"/>
          </w:tcPr>
          <w:p w14:paraId="13CF41A8" w14:textId="08D458F9" w:rsidR="00B046A1" w:rsidRDefault="00664DA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6E0D8166" w14:textId="0693636F" w:rsidR="008D627D" w:rsidRDefault="008D627D" w:rsidP="00664DA7">
            <w:pPr>
              <w:pStyle w:val="NormalWeb"/>
              <w:jc w:val="both"/>
            </w:pPr>
            <w:r>
              <w:t xml:space="preserve">Toplantıda, kalite güvence sisteminin sürekli iyileştirme ilkesine uygun şekilde yapılandırılması amacıyla </w:t>
            </w:r>
            <w:r>
              <w:rPr>
                <w:rStyle w:val="Gl"/>
                <w:rFonts w:eastAsiaTheme="majorEastAsia"/>
              </w:rPr>
              <w:t>PUKO Döngüsü</w:t>
            </w:r>
            <w:r>
              <w:t xml:space="preserve"> uygulamalarının sistematik hale getirilmesi konusu görüşülmüş aşağıdaki kararlar alınmıştır:</w:t>
            </w:r>
          </w:p>
          <w:p w14:paraId="172A1866" w14:textId="49C93DE3" w:rsidR="008D627D" w:rsidRDefault="00664DA7" w:rsidP="00664DA7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8D627D">
              <w:t xml:space="preserve">Enstitüde yürütülen tüm akademik, idari ve destek hizmet süreçlerinde </w:t>
            </w:r>
            <w:r w:rsidR="008D627D">
              <w:rPr>
                <w:rStyle w:val="Gl"/>
                <w:rFonts w:eastAsiaTheme="majorEastAsia"/>
              </w:rPr>
              <w:t>PUKO (Planla – Uygula – Kontrol Et – Önlem Al)</w:t>
            </w:r>
            <w:r w:rsidR="008D627D">
              <w:t xml:space="preserve"> döngüsünün esas alınmasına,</w:t>
            </w:r>
          </w:p>
          <w:p w14:paraId="44F6BBB9" w14:textId="48581551" w:rsidR="008D627D" w:rsidRDefault="00664DA7" w:rsidP="00664DA7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8D627D">
              <w:t>Süreçlerin yıllık olarak gözden geçirilmesi ve her bir sürece ait PUKO döngülerinin yazılı hale getirilerek kalite güvence dosyalarında arşivlenmesine,</w:t>
            </w:r>
          </w:p>
          <w:p w14:paraId="488C8AAA" w14:textId="763694D2" w:rsidR="008D627D" w:rsidRDefault="00664DA7" w:rsidP="00664DA7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8D627D">
              <w:t>Akademik ve idari birimlerdeki ilgili personelin PUKO temelli süreç yönetimi konusunda bilgilendirilmesi amacıyla hizmet içi eğitimler düzenlenmesine,</w:t>
            </w:r>
          </w:p>
          <w:p w14:paraId="52B06928" w14:textId="44EC4A9A" w:rsidR="008D627D" w:rsidRDefault="00664DA7" w:rsidP="00664DA7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8D627D">
              <w:t>PUKO uygulamalarının enstitü iç değerlendirme raporlarına yansıtılması ve kalite komisyonunca periyodik olarak izlenmesine,</w:t>
            </w:r>
          </w:p>
          <w:p w14:paraId="111677D1" w14:textId="37F6E13E" w:rsidR="00B046A1" w:rsidRDefault="00664DA7" w:rsidP="00664DA7">
            <w:pPr>
              <w:pStyle w:val="NormalWeb"/>
              <w:spacing w:before="0" w:beforeAutospacing="0" w:after="0" w:afterAutospacing="0"/>
              <w:jc w:val="both"/>
            </w:pPr>
            <w:r>
              <w:t>*</w:t>
            </w:r>
            <w:r w:rsidR="008D627D">
              <w:t>Döngülerin çıktıları doğrultusunda alınacak önlemlerin stratejik hedeflere katkısının da değerlendirilmesine,</w:t>
            </w:r>
          </w:p>
        </w:tc>
      </w:tr>
      <w:tr w:rsidR="0063172A" w:rsidRPr="00BC5F74" w14:paraId="2E1658B7" w14:textId="77777777" w:rsidTr="00EF009E">
        <w:trPr>
          <w:trHeight w:val="879"/>
        </w:trPr>
        <w:tc>
          <w:tcPr>
            <w:tcW w:w="261" w:type="dxa"/>
          </w:tcPr>
          <w:p w14:paraId="273D4325" w14:textId="63CD91E6" w:rsidR="0063172A" w:rsidRDefault="00664DA7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5A398C46" w14:textId="5D94BCE5" w:rsidR="0063172A" w:rsidRDefault="0063172A" w:rsidP="00B733E5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Toplantıda, enstitü kalite güvence sisteminin temel unsurlarından biri olan </w:t>
            </w:r>
            <w:r>
              <w:rPr>
                <w:rStyle w:val="Gl"/>
                <w:rFonts w:eastAsiaTheme="majorEastAsia"/>
              </w:rPr>
              <w:t>geri bildirim mekanizmalarının güçlendirilmesi</w:t>
            </w:r>
            <w:r>
              <w:t xml:space="preserve"> amacıyla aşağıdaki kararlar</w:t>
            </w:r>
            <w:r w:rsidR="00664DA7">
              <w:t>;</w:t>
            </w:r>
          </w:p>
          <w:p w14:paraId="6CC73630" w14:textId="77777777" w:rsidR="0063172A" w:rsidRDefault="0063172A" w:rsidP="00B733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 xml:space="preserve">Öğrenci, mezun, akademik ve idari personel ile dış paydaşların görüş ve önerilerini sistematik olarak toplamak üzere kullanılacak </w:t>
            </w:r>
            <w:r>
              <w:rPr>
                <w:rStyle w:val="Gl"/>
                <w:rFonts w:eastAsiaTheme="majorEastAsia"/>
              </w:rPr>
              <w:t>geri bildirim araçlarının</w:t>
            </w:r>
            <w:r>
              <w:t xml:space="preserve"> belirlenmesine,</w:t>
            </w:r>
          </w:p>
          <w:p w14:paraId="3176CAB2" w14:textId="77777777" w:rsidR="0063172A" w:rsidRDefault="0063172A" w:rsidP="00B733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Aşağıdaki araçların aktif şekilde kullanıma sunulmasına:</w:t>
            </w:r>
          </w:p>
          <w:p w14:paraId="354AE0DD" w14:textId="77777777" w:rsidR="0063172A" w:rsidRDefault="0063172A" w:rsidP="00B733E5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</w:pPr>
            <w:r>
              <w:t>Öğrenci memnuniyet anketleri</w:t>
            </w:r>
          </w:p>
          <w:p w14:paraId="14A13BBB" w14:textId="77777777" w:rsidR="0063172A" w:rsidRDefault="0063172A" w:rsidP="00B733E5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</w:pPr>
            <w:r>
              <w:t>Mezun izleme ve memnuniyet anketleri</w:t>
            </w:r>
          </w:p>
          <w:p w14:paraId="087D2651" w14:textId="77777777" w:rsidR="0063172A" w:rsidRDefault="0063172A" w:rsidP="00B733E5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</w:pPr>
            <w:r>
              <w:t>Akademik ve idari personel memnuniyet anketleri</w:t>
            </w:r>
          </w:p>
          <w:p w14:paraId="44339970" w14:textId="77777777" w:rsidR="0063172A" w:rsidRDefault="0063172A" w:rsidP="00B733E5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</w:pPr>
            <w:r>
              <w:t>Dış paydaş görüş formları</w:t>
            </w:r>
          </w:p>
          <w:p w14:paraId="266347FA" w14:textId="77777777" w:rsidR="0063172A" w:rsidRDefault="0063172A" w:rsidP="00B733E5">
            <w:pPr>
              <w:pStyle w:val="NormalWeb"/>
              <w:numPr>
                <w:ilvl w:val="1"/>
                <w:numId w:val="5"/>
              </w:numPr>
              <w:spacing w:before="0" w:beforeAutospacing="0" w:after="0" w:afterAutospacing="0"/>
            </w:pPr>
            <w:r>
              <w:t>Web sitesi üzerinden çevrim içi bildirim sistemi</w:t>
            </w:r>
          </w:p>
          <w:p w14:paraId="49CCFD17" w14:textId="77777777" w:rsidR="0063172A" w:rsidRDefault="0063172A" w:rsidP="00B733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Toplanan geri bildirimlerin analiz edilerek iyileştirme önerilerine dönüştürülmesi, PUKO döngüsü kapsamında izlenmesi ve sonuçlarının paydaşlarla paylaşılmasına,</w:t>
            </w:r>
          </w:p>
          <w:p w14:paraId="581628D5" w14:textId="77777777" w:rsidR="0063172A" w:rsidRDefault="0063172A" w:rsidP="00B733E5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Tüm birimlerin kendi süreçlerine özel geri bildirim yöntemleri geliştirmeleri konusunda teşvik edilmesine,</w:t>
            </w:r>
          </w:p>
          <w:p w14:paraId="74459FF4" w14:textId="2287A265" w:rsidR="0063172A" w:rsidRDefault="0063172A" w:rsidP="00F0703F">
            <w:pPr>
              <w:pStyle w:val="NormalWeb"/>
              <w:numPr>
                <w:ilvl w:val="0"/>
                <w:numId w:val="5"/>
              </w:numPr>
              <w:spacing w:before="0" w:beforeAutospacing="0" w:after="0" w:afterAutospacing="0"/>
            </w:pPr>
            <w:r>
              <w:t>Geri bildirim sonuçlarının kalite komisyonu tarafından yılda en az bir kez raporlanmasına</w:t>
            </w:r>
            <w:r w:rsidR="00755C61">
              <w:t>;</w:t>
            </w:r>
          </w:p>
        </w:tc>
      </w:tr>
      <w:tr w:rsidR="00F0703F" w:rsidRPr="00BC5F74" w14:paraId="020F7FC6" w14:textId="77777777" w:rsidTr="00EF009E">
        <w:trPr>
          <w:trHeight w:val="879"/>
        </w:trPr>
        <w:tc>
          <w:tcPr>
            <w:tcW w:w="261" w:type="dxa"/>
          </w:tcPr>
          <w:p w14:paraId="771847D3" w14:textId="3406480B" w:rsidR="00F0703F" w:rsidRDefault="00755C61" w:rsidP="002112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01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0091" w:type="dxa"/>
            <w:gridSpan w:val="6"/>
          </w:tcPr>
          <w:p w14:paraId="679A40C5" w14:textId="4D21A4C5" w:rsidR="00F0703F" w:rsidRDefault="00F0703F" w:rsidP="00755C61">
            <w:pPr>
              <w:pStyle w:val="NormalWeb"/>
              <w:spacing w:before="0" w:beforeAutospacing="0" w:after="0" w:afterAutospacing="0"/>
              <w:jc w:val="both"/>
            </w:pPr>
            <w:r>
              <w:t>Toplantıda, kalite güvence sistemi ve stratejik planlama süreçlerinde paydaş katılımının güçlendirilmesi amacıyla aşağıdaki kararlar</w:t>
            </w:r>
            <w:r w:rsidR="00755C61">
              <w:t>;</w:t>
            </w:r>
          </w:p>
          <w:p w14:paraId="23B3A999" w14:textId="77777777" w:rsidR="00F0703F" w:rsidRDefault="00F0703F" w:rsidP="00F0703F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0"/>
            </w:pPr>
            <w:r>
              <w:t xml:space="preserve">Enstitü’nün </w:t>
            </w:r>
            <w:r>
              <w:rPr>
                <w:rStyle w:val="Gl"/>
                <w:rFonts w:eastAsiaTheme="majorEastAsia"/>
              </w:rPr>
              <w:t>iç ve dış paydaşları</w:t>
            </w:r>
            <w:r>
              <w:t xml:space="preserve"> aşağıda belirtildiği şekilde tanımlanmıştır:</w:t>
            </w:r>
          </w:p>
          <w:p w14:paraId="3E7E18DD" w14:textId="77777777" w:rsidR="00F0703F" w:rsidRDefault="00F0703F" w:rsidP="00F0703F">
            <w:pPr>
              <w:pStyle w:val="NormalWeb"/>
              <w:numPr>
                <w:ilvl w:val="1"/>
                <w:numId w:val="6"/>
              </w:numPr>
              <w:spacing w:before="0" w:beforeAutospacing="0" w:after="0" w:afterAutospacing="0"/>
              <w:ind w:left="0"/>
            </w:pPr>
            <w:r>
              <w:rPr>
                <w:rStyle w:val="Gl"/>
                <w:rFonts w:eastAsiaTheme="majorEastAsia"/>
              </w:rPr>
              <w:t>İç paydaşlar:</w:t>
            </w:r>
            <w:r>
              <w:t xml:space="preserve"> Öğrenciler, akademik personel, idari personel</w:t>
            </w:r>
          </w:p>
          <w:p w14:paraId="068CBEAA" w14:textId="77777777" w:rsidR="00F0703F" w:rsidRDefault="00F0703F" w:rsidP="00755C61">
            <w:pPr>
              <w:pStyle w:val="NormalWeb"/>
              <w:numPr>
                <w:ilvl w:val="1"/>
                <w:numId w:val="6"/>
              </w:numPr>
              <w:spacing w:before="0" w:beforeAutospacing="0" w:after="0" w:afterAutospacing="0"/>
              <w:ind w:left="0"/>
              <w:jc w:val="both"/>
            </w:pPr>
            <w:r>
              <w:rPr>
                <w:rStyle w:val="Gl"/>
                <w:rFonts w:eastAsiaTheme="majorEastAsia"/>
              </w:rPr>
              <w:t>Dış paydaşlar:</w:t>
            </w:r>
            <w:r>
              <w:t xml:space="preserve"> Mezunlar, işverenler, kamu kurumları, STK’lar, sektör temsilcileri, diğer yükseköğretim kurumları</w:t>
            </w:r>
          </w:p>
          <w:p w14:paraId="607B3435" w14:textId="77777777" w:rsidR="00F0703F" w:rsidRDefault="00F0703F" w:rsidP="00755C6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>
              <w:t xml:space="preserve">Paydaşlarla iletişimin artırılması amacıyla </w:t>
            </w:r>
            <w:r>
              <w:rPr>
                <w:rStyle w:val="Gl"/>
                <w:rFonts w:eastAsiaTheme="majorEastAsia"/>
              </w:rPr>
              <w:t>düzenli anketler, toplantılar ve çevrim içi geri bildirim platformları</w:t>
            </w:r>
            <w:r>
              <w:t xml:space="preserve"> aracılığıyla görüşlerin alınmasına,</w:t>
            </w:r>
          </w:p>
          <w:p w14:paraId="2DF02E8F" w14:textId="77777777" w:rsidR="00F0703F" w:rsidRDefault="00F0703F" w:rsidP="00755C61">
            <w:pPr>
              <w:pStyle w:val="NormalWeb"/>
              <w:spacing w:before="0" w:beforeAutospacing="0" w:after="0" w:afterAutospacing="0"/>
              <w:jc w:val="both"/>
            </w:pPr>
            <w:r>
              <w:t>Danışma Kurulu’na; mezun temsilcileri, sektör ve kamu temsilcileri, akademik danışmanlar ve gerektiğinde öğrenci temsilcilerinden oluşacak üyelerin davet edilmesine,</w:t>
            </w:r>
          </w:p>
          <w:p w14:paraId="79886ECC" w14:textId="5B3302BC" w:rsidR="00F0703F" w:rsidRDefault="00F0703F" w:rsidP="00755C61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0"/>
              <w:jc w:val="both"/>
            </w:pPr>
            <w:r>
              <w:t>Danışma Kurulu’nun yılda en az bir kez toplanması ve görüşlerinin enstitü stratejik planı ve kalite süreçlerinde dikkate alınmasına,</w:t>
            </w:r>
          </w:p>
        </w:tc>
      </w:tr>
    </w:tbl>
    <w:p w14:paraId="02E47AA6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>ASLI GİBİDİR</w:t>
      </w:r>
    </w:p>
    <w:p w14:paraId="1241E782" w14:textId="60D3965B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04.08.2025</w:t>
      </w:r>
    </w:p>
    <w:p w14:paraId="055B185C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12C23965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</w:p>
    <w:p w14:paraId="4020A578" w14:textId="77777777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 xml:space="preserve">Neslihan BEYAZ </w:t>
      </w:r>
    </w:p>
    <w:p w14:paraId="14C0C043" w14:textId="303C0DDB" w:rsidR="00456C9D" w:rsidRPr="00456C9D" w:rsidRDefault="00456C9D" w:rsidP="00456C9D">
      <w:pPr>
        <w:spacing w:after="0" w:line="240" w:lineRule="auto"/>
        <w:ind w:firstLine="357"/>
        <w:jc w:val="center"/>
        <w:rPr>
          <w:rFonts w:ascii="Times New Roman" w:hAnsi="Times New Roman" w:cs="Times New Roman"/>
          <w:sz w:val="22"/>
          <w:szCs w:val="22"/>
        </w:rPr>
      </w:pPr>
      <w:r w:rsidRPr="00456C9D">
        <w:rPr>
          <w:rFonts w:ascii="Times New Roman" w:hAnsi="Times New Roman" w:cs="Times New Roman"/>
          <w:sz w:val="22"/>
          <w:szCs w:val="22"/>
        </w:rPr>
        <w:t xml:space="preserve">Enstitü Sekreteri </w:t>
      </w:r>
    </w:p>
    <w:p w14:paraId="41222B21" w14:textId="77777777" w:rsidR="007D6B79" w:rsidRDefault="007D6B79" w:rsidP="00D8229F">
      <w:pPr>
        <w:rPr>
          <w:rFonts w:ascii="Times New Roman" w:hAnsi="Times New Roman" w:cs="Times New Roman"/>
          <w:sz w:val="16"/>
          <w:szCs w:val="16"/>
        </w:rPr>
      </w:pPr>
    </w:p>
    <w:p w14:paraId="3B0E75CE" w14:textId="77777777" w:rsidR="00BD4017" w:rsidRDefault="00BD4017" w:rsidP="00D8229F">
      <w:pPr>
        <w:rPr>
          <w:rFonts w:ascii="Times New Roman" w:hAnsi="Times New Roman" w:cs="Times New Roman"/>
          <w:sz w:val="16"/>
          <w:szCs w:val="16"/>
        </w:rPr>
      </w:pPr>
    </w:p>
    <w:p w14:paraId="592C0B4C" w14:textId="77777777" w:rsidR="00D8229F" w:rsidRDefault="00D8229F" w:rsidP="00D8229F">
      <w:pPr>
        <w:rPr>
          <w:rFonts w:ascii="Times New Roman" w:hAnsi="Times New Roman" w:cs="Times New Roman"/>
          <w:sz w:val="16"/>
          <w:szCs w:val="16"/>
        </w:rPr>
      </w:pPr>
    </w:p>
    <w:p w14:paraId="0D06B341" w14:textId="77777777" w:rsidR="005C5E70" w:rsidRDefault="005C5E70">
      <w:pPr>
        <w:rPr>
          <w:rFonts w:ascii="Times New Roman" w:hAnsi="Times New Roman" w:cs="Times New Roman"/>
          <w:sz w:val="16"/>
          <w:szCs w:val="16"/>
        </w:rPr>
      </w:pPr>
    </w:p>
    <w:sectPr w:rsidR="005C5E7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9276" w14:textId="77777777" w:rsidR="00CE349D" w:rsidRDefault="00CE349D" w:rsidP="005022E9">
      <w:pPr>
        <w:spacing w:after="0" w:line="240" w:lineRule="auto"/>
      </w:pPr>
      <w:r>
        <w:separator/>
      </w:r>
    </w:p>
  </w:endnote>
  <w:endnote w:type="continuationSeparator" w:id="0">
    <w:p w14:paraId="522A3398" w14:textId="77777777" w:rsidR="00CE349D" w:rsidRDefault="00CE349D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1082" w14:textId="3C913A45" w:rsidR="005022E9" w:rsidRDefault="003D112F" w:rsidP="00627931">
    <w:pPr>
      <w:pStyle w:val="AltBilgi"/>
      <w:rPr>
        <w:sz w:val="16"/>
        <w:szCs w:val="16"/>
      </w:rPr>
    </w:pPr>
    <w:r w:rsidRPr="003D112F">
      <w:rPr>
        <w:b/>
        <w:bCs/>
        <w:i/>
        <w:iCs/>
        <w:sz w:val="16"/>
        <w:szCs w:val="16"/>
      </w:rPr>
      <w:t>PP.5.2.FR.0002</w:t>
    </w:r>
    <w:r>
      <w:rPr>
        <w:b/>
        <w:bCs/>
        <w:i/>
        <w:iCs/>
        <w:sz w:val="16"/>
        <w:szCs w:val="16"/>
      </w:rPr>
      <w:t xml:space="preserve">, </w:t>
    </w:r>
    <w:r w:rsidRPr="003D112F">
      <w:rPr>
        <w:b/>
        <w:bCs/>
        <w:i/>
        <w:iCs/>
        <w:sz w:val="16"/>
        <w:szCs w:val="16"/>
      </w:rPr>
      <w:t>R0,</w:t>
    </w:r>
    <w:r>
      <w:rPr>
        <w:b/>
        <w:bCs/>
        <w:i/>
        <w:iCs/>
        <w:sz w:val="16"/>
        <w:szCs w:val="16"/>
      </w:rPr>
      <w:t xml:space="preserve"> </w:t>
    </w:r>
    <w:r w:rsidRPr="003D112F">
      <w:rPr>
        <w:b/>
        <w:bCs/>
        <w:i/>
        <w:iCs/>
        <w:sz w:val="16"/>
        <w:szCs w:val="16"/>
      </w:rPr>
      <w:t>Ocak 2025</w:t>
    </w:r>
    <w:r w:rsidRPr="003D112F">
      <w:rPr>
        <w:sz w:val="16"/>
        <w:szCs w:val="16"/>
      </w:rPr>
      <w:tab/>
    </w:r>
    <w:r w:rsidRPr="003D112F">
      <w:rPr>
        <w:sz w:val="16"/>
        <w:szCs w:val="16"/>
      </w:rPr>
      <w:tab/>
    </w:r>
    <w:r w:rsidR="00627931" w:rsidRPr="003D112F">
      <w:rPr>
        <w:sz w:val="16"/>
        <w:szCs w:val="16"/>
      </w:rPr>
      <w:t>1 / 1</w:t>
    </w:r>
  </w:p>
  <w:p w14:paraId="26966DD0" w14:textId="77777777" w:rsidR="00632CA5" w:rsidRDefault="00632CA5" w:rsidP="00627931">
    <w:pPr>
      <w:pStyle w:val="AltBilgi"/>
      <w:rPr>
        <w:sz w:val="16"/>
        <w:szCs w:val="16"/>
      </w:rPr>
    </w:pPr>
  </w:p>
  <w:p w14:paraId="2AE94697" w14:textId="439F8E98" w:rsidR="00632CA5" w:rsidRPr="00632CA5" w:rsidRDefault="00632CA5" w:rsidP="00627931">
    <w:pPr>
      <w:pStyle w:val="AltBilgi"/>
      <w:rPr>
        <w:i/>
        <w:iCs/>
        <w:sz w:val="16"/>
        <w:szCs w:val="16"/>
      </w:rPr>
    </w:pPr>
    <w:r w:rsidRPr="00632CA5">
      <w:rPr>
        <w:i/>
        <w:iCs/>
        <w:sz w:val="16"/>
        <w:szCs w:val="16"/>
      </w:rPr>
      <w:t xml:space="preserve">Bu dokümanın basılı hâli kontrolsüz </w:t>
    </w:r>
    <w:proofErr w:type="gramStart"/>
    <w:r w:rsidRPr="00632CA5">
      <w:rPr>
        <w:i/>
        <w:iCs/>
        <w:sz w:val="16"/>
        <w:szCs w:val="16"/>
      </w:rPr>
      <w:t>doküman</w:t>
    </w:r>
    <w:proofErr w:type="gramEnd"/>
    <w:r w:rsidRPr="00632CA5">
      <w:rPr>
        <w:i/>
        <w:iCs/>
        <w:sz w:val="16"/>
        <w:szCs w:val="16"/>
      </w:rPr>
      <w:t xml:space="preserve"> kabul edilmektedir. Lütfen web sitesinden en son versiyonuna ulaşınız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8F503" w14:textId="77777777" w:rsidR="00CE349D" w:rsidRDefault="00CE349D" w:rsidP="005022E9">
      <w:pPr>
        <w:spacing w:after="0" w:line="240" w:lineRule="auto"/>
      </w:pPr>
      <w:r>
        <w:separator/>
      </w:r>
    </w:p>
  </w:footnote>
  <w:footnote w:type="continuationSeparator" w:id="0">
    <w:p w14:paraId="3B27B45C" w14:textId="77777777" w:rsidR="00CE349D" w:rsidRDefault="00CE349D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F009E">
      <w:rPr>
        <w:rFonts w:ascii="Times New Roman" w:hAnsi="Times New Roman" w:cs="Times New Roman"/>
        <w:noProof/>
      </w:rPr>
      <w:drawing>
        <wp:inline distT="0" distB="0" distL="0" distR="0" wp14:anchorId="2C0B8244" wp14:editId="30A147AD">
          <wp:extent cx="4722495" cy="876300"/>
          <wp:effectExtent l="0" t="0" r="1905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9C7"/>
    <w:multiLevelType w:val="multilevel"/>
    <w:tmpl w:val="D9EA9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5DE8"/>
    <w:multiLevelType w:val="multilevel"/>
    <w:tmpl w:val="A03C9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D06F57"/>
    <w:multiLevelType w:val="multilevel"/>
    <w:tmpl w:val="5F5CB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03F9D"/>
    <w:multiLevelType w:val="multilevel"/>
    <w:tmpl w:val="313E7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5F6F2C"/>
    <w:multiLevelType w:val="hybridMultilevel"/>
    <w:tmpl w:val="A2A298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830C6"/>
    <w:multiLevelType w:val="multilevel"/>
    <w:tmpl w:val="B77C9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7262616">
    <w:abstractNumId w:val="4"/>
  </w:num>
  <w:num w:numId="2" w16cid:durableId="1570576101">
    <w:abstractNumId w:val="2"/>
  </w:num>
  <w:num w:numId="3" w16cid:durableId="718750040">
    <w:abstractNumId w:val="5"/>
  </w:num>
  <w:num w:numId="4" w16cid:durableId="1692295283">
    <w:abstractNumId w:val="1"/>
  </w:num>
  <w:num w:numId="5" w16cid:durableId="535042475">
    <w:abstractNumId w:val="3"/>
  </w:num>
  <w:num w:numId="6" w16cid:durableId="141959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84080"/>
    <w:rsid w:val="000A59AC"/>
    <w:rsid w:val="000E5169"/>
    <w:rsid w:val="000E616B"/>
    <w:rsid w:val="00101F3C"/>
    <w:rsid w:val="00117665"/>
    <w:rsid w:val="00166B3F"/>
    <w:rsid w:val="00183099"/>
    <w:rsid w:val="001A7BF5"/>
    <w:rsid w:val="001B096E"/>
    <w:rsid w:val="001B5E58"/>
    <w:rsid w:val="001C0A42"/>
    <w:rsid w:val="001D489F"/>
    <w:rsid w:val="001E20CD"/>
    <w:rsid w:val="001F19D6"/>
    <w:rsid w:val="0020514C"/>
    <w:rsid w:val="00266D19"/>
    <w:rsid w:val="002F0C76"/>
    <w:rsid w:val="002F6FF8"/>
    <w:rsid w:val="0030575B"/>
    <w:rsid w:val="003116CF"/>
    <w:rsid w:val="00333F15"/>
    <w:rsid w:val="0033560F"/>
    <w:rsid w:val="00372C80"/>
    <w:rsid w:val="003B539C"/>
    <w:rsid w:val="003B5D53"/>
    <w:rsid w:val="003D112F"/>
    <w:rsid w:val="003D2D41"/>
    <w:rsid w:val="003D3032"/>
    <w:rsid w:val="004015DA"/>
    <w:rsid w:val="00411206"/>
    <w:rsid w:val="00413815"/>
    <w:rsid w:val="00452E1C"/>
    <w:rsid w:val="00456C9D"/>
    <w:rsid w:val="0046771F"/>
    <w:rsid w:val="004754C9"/>
    <w:rsid w:val="004C3C65"/>
    <w:rsid w:val="004D1067"/>
    <w:rsid w:val="005022E9"/>
    <w:rsid w:val="005515B9"/>
    <w:rsid w:val="00552310"/>
    <w:rsid w:val="005541E3"/>
    <w:rsid w:val="0059546A"/>
    <w:rsid w:val="005C5E70"/>
    <w:rsid w:val="005F0BF5"/>
    <w:rsid w:val="00627931"/>
    <w:rsid w:val="0063172A"/>
    <w:rsid w:val="00632CA5"/>
    <w:rsid w:val="00650065"/>
    <w:rsid w:val="00652D97"/>
    <w:rsid w:val="00664DA7"/>
    <w:rsid w:val="0067330A"/>
    <w:rsid w:val="00674FE0"/>
    <w:rsid w:val="00687FB0"/>
    <w:rsid w:val="00695F2D"/>
    <w:rsid w:val="00703779"/>
    <w:rsid w:val="007163BE"/>
    <w:rsid w:val="00721046"/>
    <w:rsid w:val="00731E35"/>
    <w:rsid w:val="0074197A"/>
    <w:rsid w:val="00755C61"/>
    <w:rsid w:val="007B162F"/>
    <w:rsid w:val="007B1726"/>
    <w:rsid w:val="007B76BD"/>
    <w:rsid w:val="007D6B79"/>
    <w:rsid w:val="007E26B7"/>
    <w:rsid w:val="0082405F"/>
    <w:rsid w:val="0086733B"/>
    <w:rsid w:val="008757AA"/>
    <w:rsid w:val="008A2010"/>
    <w:rsid w:val="008D627D"/>
    <w:rsid w:val="008D7771"/>
    <w:rsid w:val="00910F08"/>
    <w:rsid w:val="009121C5"/>
    <w:rsid w:val="00943452"/>
    <w:rsid w:val="00952202"/>
    <w:rsid w:val="009706FE"/>
    <w:rsid w:val="00973CDC"/>
    <w:rsid w:val="00981358"/>
    <w:rsid w:val="009A7002"/>
    <w:rsid w:val="009B202B"/>
    <w:rsid w:val="009E258D"/>
    <w:rsid w:val="009F5D0B"/>
    <w:rsid w:val="00A20747"/>
    <w:rsid w:val="00A22356"/>
    <w:rsid w:val="00A54FA7"/>
    <w:rsid w:val="00A70BC7"/>
    <w:rsid w:val="00A81407"/>
    <w:rsid w:val="00AA4432"/>
    <w:rsid w:val="00AD4CBC"/>
    <w:rsid w:val="00AD78AE"/>
    <w:rsid w:val="00AF28AC"/>
    <w:rsid w:val="00B046A1"/>
    <w:rsid w:val="00B653D4"/>
    <w:rsid w:val="00B733E5"/>
    <w:rsid w:val="00B76A3B"/>
    <w:rsid w:val="00BA7EB7"/>
    <w:rsid w:val="00BC5F74"/>
    <w:rsid w:val="00BD177D"/>
    <w:rsid w:val="00BD4017"/>
    <w:rsid w:val="00BE2635"/>
    <w:rsid w:val="00BE495B"/>
    <w:rsid w:val="00BF347F"/>
    <w:rsid w:val="00C20724"/>
    <w:rsid w:val="00C43ACA"/>
    <w:rsid w:val="00C56DA2"/>
    <w:rsid w:val="00C57591"/>
    <w:rsid w:val="00CB24A8"/>
    <w:rsid w:val="00CD1873"/>
    <w:rsid w:val="00CE349D"/>
    <w:rsid w:val="00CF32B2"/>
    <w:rsid w:val="00D018F8"/>
    <w:rsid w:val="00D3390E"/>
    <w:rsid w:val="00D43654"/>
    <w:rsid w:val="00D8229F"/>
    <w:rsid w:val="00DA3A1B"/>
    <w:rsid w:val="00E31293"/>
    <w:rsid w:val="00E45C1A"/>
    <w:rsid w:val="00E6370B"/>
    <w:rsid w:val="00E94730"/>
    <w:rsid w:val="00EF009E"/>
    <w:rsid w:val="00F0703F"/>
    <w:rsid w:val="00F26E20"/>
    <w:rsid w:val="00F310A1"/>
    <w:rsid w:val="00F77C55"/>
    <w:rsid w:val="00F93E02"/>
    <w:rsid w:val="00FA6A07"/>
    <w:rsid w:val="00FD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09E"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  <w:style w:type="table" w:styleId="TabloKlavuzu">
    <w:name w:val="Table Grid"/>
    <w:basedOn w:val="NormalTablo"/>
    <w:uiPriority w:val="39"/>
    <w:rsid w:val="00EF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515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5515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1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CC705-B41F-483B-BBF6-B391930C5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1131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gizem</cp:lastModifiedBy>
  <cp:revision>26</cp:revision>
  <cp:lastPrinted>2025-08-04T06:06:00Z</cp:lastPrinted>
  <dcterms:created xsi:type="dcterms:W3CDTF">2025-08-01T13:42:00Z</dcterms:created>
  <dcterms:modified xsi:type="dcterms:W3CDTF">2025-08-04T06:06:00Z</dcterms:modified>
</cp:coreProperties>
</file>